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955" w:type="dxa"/>
        <w:tblInd w:w="0" w:type="dxa"/>
        <w:tblLayout w:type="autofit"/>
        <w:tblCellMar>
          <w:top w:w="0" w:type="dxa"/>
          <w:left w:w="0" w:type="dxa"/>
          <w:bottom w:w="0" w:type="dxa"/>
          <w:right w:w="0" w:type="dxa"/>
        </w:tblCellMar>
      </w:tblPr>
      <w:tblGrid>
        <w:gridCol w:w="1030"/>
        <w:gridCol w:w="36"/>
        <w:gridCol w:w="36"/>
        <w:gridCol w:w="3801"/>
        <w:gridCol w:w="836"/>
        <w:gridCol w:w="700"/>
        <w:gridCol w:w="395"/>
        <w:gridCol w:w="291"/>
        <w:gridCol w:w="396"/>
        <w:gridCol w:w="1434"/>
      </w:tblGrid>
      <w:tr>
        <w:tblPrEx>
          <w:tblCellMar>
            <w:top w:w="0" w:type="dxa"/>
            <w:left w:w="0" w:type="dxa"/>
            <w:bottom w:w="0" w:type="dxa"/>
            <w:right w:w="0" w:type="dxa"/>
          </w:tblCellMar>
        </w:tblPrEx>
        <w:trPr>
          <w:trHeight w:val="760" w:hRule="atLeast"/>
        </w:trPr>
        <w:tc>
          <w:tcPr>
            <w:tcW w:w="8955" w:type="dxa"/>
            <w:gridSpan w:val="10"/>
            <w:tcBorders>
              <w:top w:val="nil"/>
              <w:left w:val="nil"/>
              <w:bottom w:val="nil"/>
              <w:right w:val="nil"/>
            </w:tcBorders>
            <w:tcMar>
              <w:top w:w="15" w:type="dxa"/>
              <w:left w:w="15" w:type="dxa"/>
              <w:right w:w="15" w:type="dxa"/>
            </w:tcMar>
            <w:vAlign w:val="bottom"/>
          </w:tcPr>
          <w:p>
            <w:pPr>
              <w:widowControl/>
              <w:jc w:val="center"/>
              <w:textAlignment w:val="bottom"/>
              <w:rPr>
                <w:rFonts w:ascii="宋体" w:cs="宋体"/>
                <w:color w:val="000000"/>
                <w:sz w:val="44"/>
                <w:szCs w:val="44"/>
              </w:rPr>
            </w:pPr>
            <w:bookmarkStart w:id="0" w:name="_GoBack"/>
            <w:r>
              <w:rPr>
                <w:rFonts w:hint="eastAsia" w:ascii="宋体" w:hAnsi="宋体" w:cs="宋体"/>
                <w:color w:val="000000"/>
                <w:kern w:val="0"/>
                <w:sz w:val="44"/>
                <w:szCs w:val="44"/>
              </w:rPr>
              <w:t>政府性基金预算财政拨款收入支出决算表</w:t>
            </w:r>
            <w:bookmarkEnd w:id="0"/>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08</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编制部门：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铜川市残疾人联合会</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center"/>
              <w:textAlignment w:val="bottom"/>
              <w:rPr>
                <w:rFonts w:ascii="宋体" w:cs="宋体"/>
                <w:color w:val="000000"/>
                <w:sz w:val="20"/>
                <w:szCs w:val="20"/>
              </w:rPr>
            </w:pPr>
            <w:r>
              <w:rPr>
                <w:rFonts w:ascii="宋体" w:hAnsi="宋体" w:cs="宋体"/>
                <w:color w:val="000000"/>
                <w:kern w:val="0"/>
                <w:sz w:val="20"/>
                <w:szCs w:val="20"/>
              </w:rPr>
              <w:t>2019</w:t>
            </w:r>
            <w:r>
              <w:rPr>
                <w:rFonts w:hint="eastAsia" w:ascii="宋体" w:hAnsi="宋体" w:cs="宋体"/>
                <w:color w:val="000000"/>
                <w:kern w:val="0"/>
                <w:sz w:val="20"/>
                <w:szCs w:val="20"/>
              </w:rPr>
              <w:t>年</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49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w:t>
            </w:r>
          </w:p>
        </w:tc>
        <w:tc>
          <w:tcPr>
            <w:tcW w:w="83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年初结转和结余</w:t>
            </w:r>
          </w:p>
        </w:tc>
        <w:tc>
          <w:tcPr>
            <w:tcW w:w="69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本年收入</w:t>
            </w:r>
          </w:p>
        </w:tc>
        <w:tc>
          <w:tcPr>
            <w:tcW w:w="1078"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本年支出</w:t>
            </w:r>
          </w:p>
        </w:tc>
        <w:tc>
          <w:tcPr>
            <w:tcW w:w="1430" w:type="dxa"/>
            <w:vMerge w:val="restart"/>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年末结转和结余</w:t>
            </w:r>
          </w:p>
        </w:tc>
      </w:tr>
      <w:tr>
        <w:tblPrEx>
          <w:tblCellMar>
            <w:top w:w="0" w:type="dxa"/>
            <w:left w:w="0" w:type="dxa"/>
            <w:bottom w:w="0" w:type="dxa"/>
            <w:right w:w="0" w:type="dxa"/>
          </w:tblCellMar>
        </w:tblPrEx>
        <w:trPr>
          <w:trHeight w:val="312" w:hRule="atLeast"/>
        </w:trPr>
        <w:tc>
          <w:tcPr>
            <w:tcW w:w="1130"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功能分类科目编码</w:t>
            </w:r>
          </w:p>
        </w:tc>
        <w:tc>
          <w:tcPr>
            <w:tcW w:w="378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科目名称</w:t>
            </w:r>
          </w:p>
        </w:tc>
        <w:tc>
          <w:tcPr>
            <w:tcW w:w="83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69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39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小计</w:t>
            </w:r>
          </w:p>
        </w:tc>
        <w:tc>
          <w:tcPr>
            <w:tcW w:w="29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基本支出</w:t>
            </w:r>
          </w:p>
        </w:tc>
        <w:tc>
          <w:tcPr>
            <w:tcW w:w="39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项目支出</w:t>
            </w:r>
          </w:p>
        </w:tc>
        <w:tc>
          <w:tcPr>
            <w:tcW w:w="1430" w:type="dxa"/>
            <w:vMerge w:val="continue"/>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312" w:hRule="atLeast"/>
        </w:trPr>
        <w:tc>
          <w:tcPr>
            <w:tcW w:w="113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37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83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69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39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29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39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1430" w:type="dxa"/>
            <w:vMerge w:val="continue"/>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960" w:hRule="atLeast"/>
        </w:trPr>
        <w:tc>
          <w:tcPr>
            <w:tcW w:w="113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37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83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69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39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29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39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1430" w:type="dxa"/>
            <w:vMerge w:val="continue"/>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ascii="宋体" w:cs="宋体"/>
                <w:color w:val="000000"/>
                <w:sz w:val="22"/>
                <w:szCs w:val="22"/>
              </w:rPr>
            </w:pPr>
          </w:p>
        </w:tc>
      </w:tr>
      <w:tr>
        <w:tblPrEx>
          <w:tblCellMar>
            <w:top w:w="0" w:type="dxa"/>
            <w:left w:w="0" w:type="dxa"/>
            <w:bottom w:w="0" w:type="dxa"/>
            <w:right w:w="0" w:type="dxa"/>
          </w:tblCellMar>
        </w:tblPrEx>
        <w:trPr>
          <w:trHeight w:val="380" w:hRule="atLeast"/>
        </w:trPr>
        <w:tc>
          <w:tcPr>
            <w:tcW w:w="491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162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160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160</w:t>
            </w:r>
          </w:p>
        </w:tc>
        <w:tc>
          <w:tcPr>
            <w:tcW w:w="0" w:type="auto"/>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w:t>
            </w:r>
          </w:p>
        </w:tc>
      </w:tr>
      <w:tr>
        <w:tblPrEx>
          <w:tblCellMar>
            <w:top w:w="0" w:type="dxa"/>
            <w:left w:w="0" w:type="dxa"/>
            <w:bottom w:w="0" w:type="dxa"/>
            <w:right w:w="0" w:type="dxa"/>
          </w:tblCellMar>
        </w:tblPrEx>
        <w:trPr>
          <w:trHeight w:val="380" w:hRule="atLeast"/>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r>
              <w:rPr>
                <w:rFonts w:ascii="宋体" w:cs="宋体"/>
                <w:color w:val="000000"/>
                <w:sz w:val="22"/>
                <w:szCs w:val="22"/>
              </w:rPr>
              <w:t>212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r>
              <w:rPr>
                <w:rFonts w:hint="eastAsia" w:ascii="宋体" w:cs="宋体"/>
                <w:color w:val="000000"/>
                <w:sz w:val="22"/>
                <w:szCs w:val="22"/>
              </w:rPr>
              <w:t>城乡社区支出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140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140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140</w:t>
            </w:r>
          </w:p>
        </w:tc>
        <w:tc>
          <w:tcPr>
            <w:tcW w:w="0" w:type="auto"/>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80" w:hRule="atLeast"/>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r>
              <w:rPr>
                <w:rFonts w:ascii="宋体" w:cs="宋体"/>
                <w:color w:val="000000"/>
                <w:sz w:val="22"/>
                <w:szCs w:val="22"/>
              </w:rPr>
              <w:t>21208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15"/>
                <w:szCs w:val="15"/>
              </w:rPr>
            </w:pPr>
            <w:r>
              <w:rPr>
                <w:rFonts w:hint="eastAsia" w:ascii="宋体" w:cs="宋体"/>
                <w:color w:val="000000"/>
                <w:sz w:val="15"/>
                <w:szCs w:val="15"/>
              </w:rPr>
              <w:t>国有土地使用权出让收入及对应专项债务收入安排的支出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140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140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140</w:t>
            </w:r>
          </w:p>
        </w:tc>
        <w:tc>
          <w:tcPr>
            <w:tcW w:w="0" w:type="auto"/>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80" w:hRule="atLeast"/>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r>
              <w:rPr>
                <w:rFonts w:ascii="宋体" w:cs="宋体"/>
                <w:color w:val="000000"/>
                <w:sz w:val="22"/>
                <w:szCs w:val="22"/>
              </w:rPr>
              <w:t>2120899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15"/>
                <w:szCs w:val="15"/>
              </w:rPr>
            </w:pPr>
            <w:r>
              <w:rPr>
                <w:rFonts w:hint="eastAsia" w:ascii="宋体" w:cs="宋体"/>
                <w:color w:val="000000"/>
                <w:sz w:val="15"/>
                <w:szCs w:val="15"/>
              </w:rPr>
              <w:t>其他国有土地使用权出让收入安排的支出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140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140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140</w:t>
            </w:r>
          </w:p>
        </w:tc>
        <w:tc>
          <w:tcPr>
            <w:tcW w:w="0" w:type="auto"/>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80" w:hRule="atLeast"/>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r>
              <w:rPr>
                <w:rFonts w:ascii="宋体" w:cs="宋体"/>
                <w:color w:val="000000"/>
                <w:sz w:val="22"/>
                <w:szCs w:val="22"/>
              </w:rPr>
              <w:t>229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r>
              <w:rPr>
                <w:rFonts w:hint="eastAsia" w:ascii="宋体" w:cs="宋体"/>
                <w:color w:val="000000"/>
                <w:sz w:val="22"/>
                <w:szCs w:val="22"/>
              </w:rPr>
              <w:t>其他支出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20</w:t>
            </w:r>
          </w:p>
        </w:tc>
        <w:tc>
          <w:tcPr>
            <w:tcW w:w="0" w:type="auto"/>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w:t>
            </w:r>
          </w:p>
        </w:tc>
      </w:tr>
      <w:tr>
        <w:tblPrEx>
          <w:tblCellMar>
            <w:top w:w="0" w:type="dxa"/>
            <w:left w:w="0" w:type="dxa"/>
            <w:bottom w:w="0" w:type="dxa"/>
            <w:right w:w="0" w:type="dxa"/>
          </w:tblCellMar>
        </w:tblPrEx>
        <w:trPr>
          <w:trHeight w:val="380" w:hRule="atLeast"/>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r>
              <w:rPr>
                <w:rFonts w:ascii="宋体" w:cs="宋体"/>
                <w:color w:val="000000"/>
                <w:sz w:val="22"/>
                <w:szCs w:val="22"/>
              </w:rPr>
              <w:t>22960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16"/>
                <w:szCs w:val="16"/>
              </w:rPr>
            </w:pPr>
            <w:r>
              <w:rPr>
                <w:rFonts w:hint="eastAsia" w:ascii="宋体" w:cs="宋体"/>
                <w:color w:val="000000"/>
                <w:sz w:val="16"/>
                <w:szCs w:val="16"/>
              </w:rPr>
              <w:t>彩票公益金安排的支出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20</w:t>
            </w:r>
          </w:p>
        </w:tc>
        <w:tc>
          <w:tcPr>
            <w:tcW w:w="0" w:type="auto"/>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w:t>
            </w:r>
          </w:p>
        </w:tc>
      </w:tr>
      <w:tr>
        <w:tblPrEx>
          <w:tblCellMar>
            <w:top w:w="0" w:type="dxa"/>
            <w:left w:w="0" w:type="dxa"/>
            <w:bottom w:w="0" w:type="dxa"/>
            <w:right w:w="0" w:type="dxa"/>
          </w:tblCellMar>
        </w:tblPrEx>
        <w:trPr>
          <w:trHeight w:val="380" w:hRule="atLeast"/>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r>
              <w:rPr>
                <w:rFonts w:ascii="宋体" w:cs="宋体"/>
                <w:color w:val="000000"/>
                <w:sz w:val="22"/>
                <w:szCs w:val="22"/>
              </w:rPr>
              <w:t>2296006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15"/>
                <w:szCs w:val="15"/>
              </w:rPr>
            </w:pPr>
            <w:r>
              <w:rPr>
                <w:rFonts w:hint="eastAsia" w:ascii="宋体" w:cs="宋体"/>
                <w:color w:val="000000"/>
                <w:sz w:val="15"/>
                <w:szCs w:val="15"/>
              </w:rPr>
              <w:t>用于残疾人事业的彩票公益金支出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20</w:t>
            </w:r>
          </w:p>
        </w:tc>
        <w:tc>
          <w:tcPr>
            <w:tcW w:w="0" w:type="auto"/>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w:t>
            </w:r>
          </w:p>
        </w:tc>
      </w:tr>
      <w:tr>
        <w:tblPrEx>
          <w:tblCellMar>
            <w:top w:w="0" w:type="dxa"/>
            <w:left w:w="0" w:type="dxa"/>
            <w:bottom w:w="0" w:type="dxa"/>
            <w:right w:w="0" w:type="dxa"/>
          </w:tblCellMar>
        </w:tblPrEx>
        <w:trPr>
          <w:trHeight w:val="380" w:hRule="atLeast"/>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80" w:hRule="atLeast"/>
        </w:trPr>
        <w:tc>
          <w:tcPr>
            <w:tcW w:w="0" w:type="auto"/>
            <w:gridSpan w:val="3"/>
            <w:tcBorders>
              <w:top w:val="nil"/>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0" w:type="auto"/>
            <w:tcBorders>
              <w:top w:val="nil"/>
              <w:left w:val="nil"/>
              <w:bottom w:val="single" w:color="000000" w:sz="8"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0" w:type="auto"/>
            <w:tcBorders>
              <w:top w:val="nil"/>
              <w:left w:val="nil"/>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0" w:type="auto"/>
            <w:tcBorders>
              <w:top w:val="nil"/>
              <w:left w:val="nil"/>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1020" w:hRule="atLeast"/>
        </w:trPr>
        <w:tc>
          <w:tcPr>
            <w:tcW w:w="8955"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注：本表反映部门本年度政府性基金预算财政拨款收入支出及结转和结余情况。本表金额转换为万元时，因四舍五入可能存在尾差。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00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2020-11-05T00:56:30Z</dcterms:created>
  <dc:creator>FLENOVO</dc:creator>
  <cp:lastModifiedBy>FLENOVO</cp:lastModifiedBy>
  <dcterms:modified xsi:type="dcterms:W3CDTF">2020-11-05T00:56:41Z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