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50"/>
        <w:gridCol w:w="50"/>
        <w:gridCol w:w="3085"/>
        <w:gridCol w:w="1050"/>
        <w:gridCol w:w="1050"/>
        <w:gridCol w:w="1050"/>
        <w:gridCol w:w="630"/>
        <w:gridCol w:w="525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支出决算表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铜川市残疾人联合会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2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849.4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426.4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1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1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2013204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公务员事务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1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657.77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394.77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其他行政事业单位离退休支出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612.13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11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349.13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残疾人康复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131.02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125.17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残疾人就业和扶贫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其他残疾人事业支出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291.65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218.89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2120899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其他国有土地使用权出让收入安排的支出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cs="宋体"/>
                <w:color w:val="000000"/>
                <w:sz w:val="16"/>
                <w:szCs w:val="16"/>
              </w:rPr>
              <w:t>彩票公益金安排的支出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30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sz w:val="15"/>
                <w:szCs w:val="15"/>
              </w:rPr>
              <w:t>用于残疾人事业的彩票公益金支出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注：本表反映部门本年度各项支出情况。本表金额转换为万元时，因四舍五入可能存在尾差。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2020-11-05T00:51:16Z</dcterms:created>
  <dc:creator>FLENOVO</dc:creator>
  <cp:lastModifiedBy>FLENOVO</cp:lastModifiedBy>
  <dcterms:modified xsi:type="dcterms:W3CDTF">2020-11-05T00:51:26Z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