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53"/>
        <w:gridCol w:w="53"/>
        <w:gridCol w:w="2266"/>
        <w:gridCol w:w="1001"/>
        <w:gridCol w:w="890"/>
        <w:gridCol w:w="667"/>
        <w:gridCol w:w="203"/>
        <w:gridCol w:w="353"/>
        <w:gridCol w:w="778"/>
        <w:gridCol w:w="556"/>
        <w:gridCol w:w="667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1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收入决算表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铜川市残疾人联合会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其中：教育收费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2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878.2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878.2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公务员事务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社会保障和就业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684.57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684.57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sz w:val="15"/>
                <w:szCs w:val="15"/>
              </w:rPr>
              <w:t>其他行政事业单位离退休支出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638.93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638.93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残疾人康复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262.18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262.18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残疾人就业和扶贫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其他残疾人事业支出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187.29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187.29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sz w:val="15"/>
                <w:szCs w:val="15"/>
              </w:rPr>
              <w:t>国有土地使用权出让收入及对应专项债务收入安排的支出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2120899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sz w:val="15"/>
                <w:szCs w:val="15"/>
              </w:rPr>
              <w:t>其他国有土地使用权出让收入安排的支出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cs="宋体"/>
                <w:color w:val="000000"/>
                <w:sz w:val="16"/>
                <w:szCs w:val="16"/>
              </w:rPr>
              <w:t>彩票公益金安排的支出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cs="宋体"/>
                <w:color w:val="000000"/>
                <w:sz w:val="13"/>
                <w:szCs w:val="13"/>
              </w:rPr>
              <w:t>用于残疾人事业的彩票公益金支出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1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注：本表反映部门本年度取得的各项收入情况。本表金额转换为万元时，因四舍五入可能存在尾差。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2020-11-05T00:50:17Z</dcterms:created>
  <dc:creator>FLENOVO</dc:creator>
  <cp:lastModifiedBy>FLENOVO</cp:lastModifiedBy>
  <dcterms:modified xsi:type="dcterms:W3CDTF">2020-11-05T00:50:27Z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